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media/image2.gif" ContentType="image/gif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3"/>
        <w:spacing w:before="120" w:after="0"/>
        <w:jc w:val="both"/>
        <w:rPr>
          <w:rFonts w:ascii="Tahoma" w:hAnsi="Tahoma" w:cs="Tahoma"/>
          <w:sz w:val="20"/>
        </w:rPr>
      </w:pPr>
      <w:r>
        <w:rPr/>
      </w:r>
    </w:p>
    <w:p>
      <w:pPr>
        <w:pStyle w:val="BodyText3"/>
        <w:spacing w:before="120" w:after="0"/>
        <w:ind w:end="413"/>
        <w:jc w:val="both"/>
        <w:rPr>
          <w:rFonts w:ascii="Tahoma" w:hAnsi="Tahoma" w:cs="Tahoma"/>
          <w:i/>
          <w:sz w:val="18"/>
        </w:rPr>
      </w:pPr>
      <w:r>
        <w:rPr>
          <w:rFonts w:cs="Tahoma" w:ascii="Tahoma" w:hAnsi="Tahoma"/>
          <w:i/>
          <w:sz w:val="18"/>
        </w:rPr>
      </w:r>
    </w:p>
    <w:p>
      <w:pPr>
        <w:pStyle w:val="paragraph"/>
        <w:spacing w:beforeAutospacing="0" w:before="0" w:afterAutospacing="0" w:after="0"/>
        <w:ind w:end="271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Calibri" w:ascii="Calibri" w:hAnsi="Calibri"/>
        </w:rPr>
        <w:t>Nel raggiungimento dei propri obiettivi di business, NOIGROUP considera la sicurezza e la salvaguardia dei dati elementi di fondamentale e imprescindibile importanza.</w:t>
      </w:r>
    </w:p>
    <w:p>
      <w:pPr>
        <w:pStyle w:val="paragraph"/>
        <w:spacing w:beforeAutospacing="0" w:before="0" w:afterAutospacing="0" w:after="0"/>
        <w:ind w:end="271"/>
        <w:jc w:val="both"/>
        <w:textAlignment w:val="baseline"/>
        <w:rPr>
          <w:rFonts w:ascii="Calibri" w:hAnsi="Calibri" w:cs="Calibri"/>
        </w:rPr>
      </w:pPr>
      <w:r>
        <w:rPr>
          <w:rStyle w:val="normaltextrun"/>
          <w:rFonts w:cs="Calibri" w:ascii="Calibri" w:hAnsi="Calibri"/>
        </w:rPr>
        <w:t xml:space="preserve">In ragione di ciò NOIGROUP ha deciso di introdurre in azienda un Sistema di Gestione per </w:t>
      </w:r>
      <w:r>
        <w:rPr>
          <w:rFonts w:cs="Segoe UI" w:ascii="Segoe UI" w:hAnsi="Segoe UI"/>
          <w:sz w:val="18"/>
          <w:szCs w:val="18"/>
        </w:rPr>
        <w:t xml:space="preserve">la </w:t>
      </w:r>
      <w:r>
        <w:rPr>
          <w:rStyle w:val="normaltextrun"/>
          <w:rFonts w:cs="Calibri" w:ascii="Calibri" w:hAnsi="Calibri"/>
        </w:rPr>
        <w:t>Sicurezza delle Informazioni (SGSI) quale strumento di condivisione ed utilizzo sicuro di dati e informazioni.</w:t>
      </w:r>
    </w:p>
    <w:p>
      <w:pPr>
        <w:pStyle w:val="paragraph"/>
        <w:spacing w:beforeAutospacing="0" w:before="0" w:afterAutospacing="0" w:after="0"/>
        <w:ind w:end="271"/>
        <w:jc w:val="both"/>
        <w:textAlignment w:val="baseline"/>
        <w:rPr>
          <w:rStyle w:val="normaltextrun"/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paragraph"/>
        <w:spacing w:beforeAutospacing="0" w:before="0" w:afterAutospacing="0" w:after="0"/>
        <w:ind w:end="271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Calibri" w:ascii="Calibri" w:hAnsi="Calibri"/>
        </w:rPr>
        <w:t xml:space="preserve">In considerazione di ciò, è ritenuto fondamentale che lo svolgimento delle attività aziendali avvenga garantendo standard congrui in termini </w:t>
      </w:r>
      <w:r>
        <w:rPr>
          <w:rStyle w:val="CommentReference"/>
        </w:rPr>
        <w:t>d</w:t>
      </w:r>
      <w:r>
        <w:rPr>
          <w:rStyle w:val="normaltextrun"/>
          <w:rFonts w:cs="Calibri" w:ascii="Calibri" w:hAnsi="Calibri"/>
        </w:rPr>
        <w:t>i:</w:t>
      </w:r>
    </w:p>
    <w:p>
      <w:pPr>
        <w:pStyle w:val="paragraph"/>
        <w:spacing w:beforeAutospacing="0" w:before="0" w:afterAutospacing="0" w:after="0"/>
        <w:ind w:end="271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cs="Segoe UI" w:ascii="Segoe UI" w:hAnsi="Segoe UI"/>
          <w:sz w:val="18"/>
          <w:szCs w:val="18"/>
        </w:rPr>
      </w:r>
    </w:p>
    <w:p>
      <w:pPr>
        <w:pStyle w:val="paragraph"/>
        <w:spacing w:beforeAutospacing="0" w:before="0" w:afterAutospacing="0" w:after="0"/>
        <w:ind w:hanging="2" w:end="271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Calibri" w:ascii="Calibri" w:hAnsi="Calibri"/>
          <w:b/>
          <w:bCs/>
        </w:rPr>
        <w:t>1. riservatezza:</w:t>
      </w:r>
      <w:r>
        <w:rPr>
          <w:rStyle w:val="normaltextrun"/>
          <w:rFonts w:cs="Calibri" w:ascii="Calibri" w:hAnsi="Calibri"/>
        </w:rPr>
        <w:t xml:space="preserve"> proprietà per cui l'informazione non è resa disponibile o rivelata a individui, entità o</w:t>
      </w:r>
      <w:r>
        <w:rPr>
          <w:rStyle w:val="eop"/>
          <w:rFonts w:cs="Calibri" w:ascii="Calibri" w:hAnsi="Calibri"/>
        </w:rPr>
        <w:t> </w:t>
      </w:r>
      <w:r>
        <w:rPr>
          <w:rStyle w:val="normaltextrun"/>
          <w:rFonts w:cs="Calibri" w:ascii="Calibri" w:hAnsi="Calibri"/>
        </w:rPr>
        <w:t>processi non autorizzati;</w:t>
      </w:r>
      <w:r>
        <w:rPr>
          <w:rStyle w:val="eop"/>
          <w:rFonts w:cs="Calibri" w:ascii="Calibri" w:hAnsi="Calibri"/>
        </w:rPr>
        <w:t> </w:t>
      </w:r>
    </w:p>
    <w:p>
      <w:pPr>
        <w:pStyle w:val="paragraph"/>
        <w:spacing w:beforeAutospacing="0" w:before="0" w:afterAutospacing="0" w:after="0"/>
        <w:ind w:hanging="2" w:end="271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Calibri" w:ascii="Calibri" w:hAnsi="Calibri"/>
          <w:b/>
          <w:bCs/>
        </w:rPr>
        <w:t>2. integrità:</w:t>
      </w:r>
      <w:r>
        <w:rPr>
          <w:rStyle w:val="normaltextrun"/>
          <w:rFonts w:cs="Calibri" w:ascii="Calibri" w:hAnsi="Calibri"/>
        </w:rPr>
        <w:t xml:space="preserve"> proprietà relativa alla salvaguardia dell'accuratezza e della completezza delle informazioni e</w:t>
      </w:r>
      <w:r>
        <w:rPr>
          <w:rStyle w:val="eop"/>
          <w:rFonts w:cs="Calibri" w:ascii="Calibri" w:hAnsi="Calibri"/>
        </w:rPr>
        <w:t> </w:t>
      </w:r>
      <w:r>
        <w:rPr>
          <w:rStyle w:val="normaltextrun"/>
          <w:rFonts w:cs="Calibri" w:ascii="Calibri" w:hAnsi="Calibri"/>
        </w:rPr>
        <w:t>dei beni ad esse collegati;</w:t>
      </w:r>
      <w:r>
        <w:rPr>
          <w:rStyle w:val="eop"/>
          <w:rFonts w:cs="Calibri" w:ascii="Calibri" w:hAnsi="Calibri"/>
        </w:rPr>
        <w:t> </w:t>
      </w:r>
    </w:p>
    <w:p>
      <w:pPr>
        <w:pStyle w:val="paragraph"/>
        <w:spacing w:beforeAutospacing="0" w:before="0" w:afterAutospacing="0" w:after="0"/>
        <w:ind w:hanging="2" w:end="271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Calibri" w:ascii="Calibri" w:hAnsi="Calibri"/>
          <w:b/>
          <w:bCs/>
        </w:rPr>
        <w:t>3. disponibilità:</w:t>
      </w:r>
      <w:r>
        <w:rPr>
          <w:rStyle w:val="normaltextrun"/>
          <w:rFonts w:cs="Calibri" w:ascii="Calibri" w:hAnsi="Calibri"/>
        </w:rPr>
        <w:t xml:space="preserve"> proprietà di essere accessibile e utilizzabile su richiesta di un'entità autorizzata.</w:t>
      </w:r>
    </w:p>
    <w:p>
      <w:pPr>
        <w:pStyle w:val="paragraph"/>
        <w:spacing w:beforeAutospacing="0" w:before="0" w:afterAutospacing="0" w:after="0"/>
        <w:ind w:hanging="2" w:end="271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cs="Segoe UI" w:ascii="Segoe UI" w:hAnsi="Segoe UI"/>
          <w:sz w:val="18"/>
          <w:szCs w:val="18"/>
        </w:rPr>
      </w:r>
    </w:p>
    <w:p>
      <w:pPr>
        <w:pStyle w:val="paragraph"/>
        <w:spacing w:beforeAutospacing="0" w:before="0" w:afterAutospacing="0" w:after="0"/>
        <w:ind w:end="271"/>
        <w:jc w:val="both"/>
        <w:textAlignment w:val="baseline"/>
        <w:rPr>
          <w:rStyle w:val="normaltextrun"/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paragraph"/>
        <w:spacing w:beforeAutospacing="0" w:before="0" w:afterAutospacing="0" w:after="0"/>
        <w:ind w:end="271"/>
        <w:jc w:val="both"/>
        <w:textAlignment w:val="baseline"/>
        <w:rPr>
          <w:rStyle w:val="eop"/>
          <w:rFonts w:ascii="Calibri" w:hAnsi="Calibri" w:cs="Calibri"/>
        </w:rPr>
      </w:pPr>
      <w:r>
        <w:rPr>
          <w:rStyle w:val="normaltextrun"/>
          <w:rFonts w:cs="Calibri" w:ascii="Calibri" w:hAnsi="Calibri"/>
        </w:rPr>
        <w:t>Gli obiettivi generali del SGSI di NOIGROUP si riassumono in: </w:t>
      </w:r>
      <w:r>
        <w:rPr>
          <w:rStyle w:val="eop"/>
          <w:rFonts w:cs="Calibri" w:ascii="Calibri" w:hAnsi="Calibri"/>
        </w:rPr>
        <w:t> </w:t>
      </w:r>
    </w:p>
    <w:p>
      <w:pPr>
        <w:pStyle w:val="paragraph"/>
        <w:spacing w:beforeAutospacing="0" w:before="0" w:afterAutospacing="0" w:after="0"/>
        <w:ind w:end="271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cs="Segoe UI" w:ascii="Segoe UI" w:hAnsi="Segoe UI"/>
          <w:sz w:val="18"/>
          <w:szCs w:val="18"/>
        </w:rPr>
      </w:r>
    </w:p>
    <w:p>
      <w:pPr>
        <w:pStyle w:val="paragraph"/>
        <w:numPr>
          <w:ilvl w:val="0"/>
          <w:numId w:val="1"/>
        </w:numPr>
        <w:spacing w:beforeAutospacing="0" w:before="0" w:afterAutospacing="0" w:after="0"/>
        <w:ind w:hanging="284" w:start="284" w:end="271"/>
        <w:jc w:val="both"/>
        <w:textAlignment w:val="baseline"/>
        <w:rPr>
          <w:rFonts w:ascii="Calibri" w:hAnsi="Calibri" w:cs="Calibri"/>
        </w:rPr>
      </w:pPr>
      <w:r>
        <w:rPr>
          <w:rStyle w:val="normaltextrun"/>
          <w:rFonts w:cs="Calibri" w:ascii="Calibri" w:hAnsi="Calibri"/>
        </w:rPr>
        <w:t>fornire con regolarità servizi informatici sicuri, al fine di raggiungere gli obiettivi di sicurezza; </w:t>
      </w:r>
      <w:r>
        <w:rPr>
          <w:rStyle w:val="eop"/>
          <w:rFonts w:cs="Calibri" w:ascii="Calibri" w:hAnsi="Calibri"/>
        </w:rPr>
        <w:t> </w:t>
      </w:r>
    </w:p>
    <w:p>
      <w:pPr>
        <w:pStyle w:val="paragraph"/>
        <w:numPr>
          <w:ilvl w:val="0"/>
          <w:numId w:val="2"/>
        </w:numPr>
        <w:spacing w:beforeAutospacing="0" w:before="0" w:afterAutospacing="0" w:after="0"/>
        <w:ind w:hanging="284" w:start="284" w:end="271"/>
        <w:jc w:val="both"/>
        <w:textAlignment w:val="baseline"/>
        <w:rPr>
          <w:rFonts w:ascii="Calibri" w:hAnsi="Calibri" w:cs="Calibri"/>
        </w:rPr>
      </w:pPr>
      <w:r>
        <w:rPr>
          <w:rStyle w:val="normaltextrun"/>
          <w:rFonts w:cs="Calibri" w:ascii="Calibri" w:hAnsi="Calibri"/>
        </w:rPr>
        <w:t>minimizzare il rischio di perdita e/o indisponibilità dei dati gestiti, pianificando e gestendo la continuità di servizio; </w:t>
      </w:r>
      <w:r>
        <w:rPr>
          <w:rStyle w:val="eop"/>
          <w:rFonts w:cs="Calibri" w:ascii="Calibri" w:hAnsi="Calibri"/>
        </w:rPr>
        <w:t> </w:t>
      </w:r>
    </w:p>
    <w:p>
      <w:pPr>
        <w:pStyle w:val="paragraph"/>
        <w:numPr>
          <w:ilvl w:val="0"/>
          <w:numId w:val="3"/>
        </w:numPr>
        <w:spacing w:beforeAutospacing="0" w:before="0" w:afterAutospacing="0" w:after="0"/>
        <w:ind w:hanging="284" w:start="284" w:end="271"/>
        <w:jc w:val="both"/>
        <w:textAlignment w:val="baseline"/>
        <w:rPr>
          <w:rFonts w:ascii="Calibri" w:hAnsi="Calibri" w:cs="Calibri"/>
        </w:rPr>
      </w:pPr>
      <w:r>
        <w:rPr>
          <w:rStyle w:val="normaltextrun"/>
          <w:rFonts w:cs="Calibri" w:ascii="Calibri" w:hAnsi="Calibri"/>
        </w:rPr>
        <w:t>svolgere adeguate analisi dei rischi per individuare le vulnerabilità e le</w:t>
      </w:r>
      <w:r>
        <w:rPr>
          <w:rStyle w:val="eop"/>
          <w:rFonts w:cs="Calibri" w:ascii="Calibri" w:hAnsi="Calibri"/>
        </w:rPr>
        <w:t xml:space="preserve"> possibili </w:t>
      </w:r>
      <w:r>
        <w:rPr>
          <w:rStyle w:val="normaltextrun"/>
          <w:rFonts w:cs="Calibri" w:ascii="Calibri" w:hAnsi="Calibri"/>
        </w:rPr>
        <w:t>minacce associate alle attività operative aziendali; </w:t>
      </w:r>
      <w:r>
        <w:rPr>
          <w:rStyle w:val="eop"/>
          <w:rFonts w:cs="Calibri" w:ascii="Calibri" w:hAnsi="Calibri"/>
        </w:rPr>
        <w:t> </w:t>
      </w:r>
    </w:p>
    <w:p>
      <w:pPr>
        <w:pStyle w:val="paragraph"/>
        <w:numPr>
          <w:ilvl w:val="0"/>
          <w:numId w:val="4"/>
        </w:numPr>
        <w:spacing w:beforeAutospacing="0" w:before="0" w:afterAutospacing="0" w:after="0"/>
        <w:ind w:hanging="284" w:start="284" w:end="271"/>
        <w:jc w:val="both"/>
        <w:textAlignment w:val="baseline"/>
        <w:rPr>
          <w:rFonts w:ascii="Calibri" w:hAnsi="Calibri" w:cs="Calibri"/>
        </w:rPr>
      </w:pPr>
      <w:r>
        <w:rPr>
          <w:rStyle w:val="normaltextrun"/>
          <w:rFonts w:cs="Calibri" w:ascii="Calibri" w:hAnsi="Calibri"/>
        </w:rPr>
        <w:t>rispettare le leggi e le disposizioni vigenti, i requisiti contrattuali e le procedure in essere; </w:t>
      </w:r>
      <w:r>
        <w:rPr>
          <w:rStyle w:val="eop"/>
          <w:rFonts w:cs="Calibri" w:ascii="Calibri" w:hAnsi="Calibri"/>
        </w:rPr>
        <w:t> </w:t>
      </w:r>
    </w:p>
    <w:p>
      <w:pPr>
        <w:pStyle w:val="paragraph"/>
        <w:numPr>
          <w:ilvl w:val="0"/>
          <w:numId w:val="5"/>
        </w:numPr>
        <w:spacing w:beforeAutospacing="0" w:before="0" w:afterAutospacing="0" w:after="0"/>
        <w:ind w:hanging="284" w:start="284" w:end="271"/>
        <w:jc w:val="both"/>
        <w:textAlignment w:val="baseline"/>
        <w:rPr>
          <w:rFonts w:ascii="Calibri" w:hAnsi="Calibri" w:cs="Calibri"/>
        </w:rPr>
      </w:pPr>
      <w:r>
        <w:rPr>
          <w:rStyle w:val="normaltextrun"/>
          <w:rFonts w:cs="Calibri" w:ascii="Calibri" w:hAnsi="Calibri"/>
        </w:rPr>
        <w:t>promuovere la collaborazione, comprensione e consapevolezza del SGSI da parte degli utenti e dei</w:t>
      </w:r>
      <w:r>
        <w:rPr>
          <w:rStyle w:val="eop"/>
          <w:rFonts w:cs="Calibri" w:ascii="Calibri" w:hAnsi="Calibri"/>
        </w:rPr>
        <w:t> </w:t>
      </w:r>
      <w:r>
        <w:rPr>
          <w:rStyle w:val="normaltextrun"/>
          <w:rFonts w:cs="Calibri" w:ascii="Calibri" w:hAnsi="Calibri"/>
        </w:rPr>
        <w:t>fornitori strategici; </w:t>
      </w:r>
      <w:r>
        <w:rPr>
          <w:rStyle w:val="eop"/>
          <w:rFonts w:cs="Calibri" w:ascii="Calibri" w:hAnsi="Calibri"/>
        </w:rPr>
        <w:t> </w:t>
      </w:r>
    </w:p>
    <w:p>
      <w:pPr>
        <w:pStyle w:val="paragraph"/>
        <w:numPr>
          <w:ilvl w:val="0"/>
          <w:numId w:val="6"/>
        </w:numPr>
        <w:spacing w:beforeAutospacing="0" w:before="0" w:afterAutospacing="0" w:after="0"/>
        <w:ind w:hanging="284" w:start="284" w:end="271"/>
        <w:jc w:val="both"/>
        <w:textAlignment w:val="baseline"/>
        <w:rPr>
          <w:rFonts w:ascii="Calibri" w:hAnsi="Calibri" w:cs="Calibri"/>
        </w:rPr>
      </w:pPr>
      <w:r>
        <w:rPr>
          <w:rStyle w:val="normaltextrun"/>
          <w:rFonts w:cs="Calibri" w:ascii="Calibri" w:hAnsi="Calibri"/>
        </w:rPr>
        <w:t>conformarsi ai principi e ai controlli stabiliti dalla UNI EN ISO IEC 27001:2024 o altre norme/regolamenti che disciplinano i</w:t>
      </w:r>
      <w:r>
        <w:rPr>
          <w:rStyle w:val="eop"/>
          <w:rFonts w:cs="Calibri" w:ascii="Calibri" w:hAnsi="Calibri"/>
        </w:rPr>
        <w:t> </w:t>
      </w:r>
      <w:r>
        <w:rPr>
          <w:rStyle w:val="normaltextrun"/>
          <w:rFonts w:cs="Calibri" w:ascii="Calibri" w:hAnsi="Calibri"/>
        </w:rPr>
        <w:t>trattamenti di sicurezza dei dati aziendali e di proprietà dei Clienti. </w:t>
      </w:r>
      <w:r>
        <w:rPr>
          <w:rStyle w:val="eop"/>
          <w:rFonts w:cs="Calibri" w:ascii="Calibri" w:hAnsi="Calibri"/>
        </w:rPr>
        <w:t> </w:t>
      </w:r>
    </w:p>
    <w:p>
      <w:pPr>
        <w:pStyle w:val="paragraph"/>
        <w:spacing w:beforeAutospacing="0" w:before="0" w:afterAutospacing="0" w:after="0"/>
        <w:ind w:hanging="284" w:start="284" w:end="271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cs="Calibri" w:ascii="Calibri" w:hAnsi="Calibri"/>
          <w:sz w:val="16"/>
          <w:szCs w:val="16"/>
        </w:rPr>
        <w:t> </w:t>
      </w:r>
    </w:p>
    <w:p>
      <w:pPr>
        <w:pStyle w:val="paragraph"/>
        <w:spacing w:beforeAutospacing="0" w:before="0" w:afterAutospacing="0" w:after="0"/>
        <w:ind w:end="271"/>
        <w:jc w:val="both"/>
        <w:textAlignment w:val="baseline"/>
        <w:rPr>
          <w:rStyle w:val="normaltextrun"/>
          <w:rFonts w:ascii="Calibri" w:hAnsi="Calibri" w:cs="Calibri"/>
        </w:rPr>
      </w:pPr>
      <w:r>
        <w:rPr>
          <w:rStyle w:val="normaltextrun"/>
          <w:rFonts w:cs="Calibri" w:ascii="Calibri" w:hAnsi="Calibri"/>
        </w:rPr>
        <w:t xml:space="preserve">NOIGROUP è costantemente impegnata anche nella protezione dei dati personali sensibili che gestisce con cura e attenzione. </w:t>
      </w:r>
    </w:p>
    <w:p>
      <w:pPr>
        <w:pStyle w:val="paragraph"/>
        <w:spacing w:beforeAutospacing="0" w:before="0" w:afterAutospacing="0" w:after="0"/>
        <w:ind w:end="271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Calibri" w:ascii="Calibri" w:hAnsi="Calibri"/>
        </w:rPr>
        <w:t>Rispetto a questi ultimi la Direzione, nel rispetto della vigente legge sulla privacy, agisce disciplinando gli impegni assunti all'interno dei contratti con i clienti e nominando i fornitori responsabili del trattamento dei dati. </w:t>
      </w:r>
      <w:r>
        <w:rPr>
          <w:rStyle w:val="eop"/>
          <w:rFonts w:cs="Calibri" w:ascii="Calibri" w:hAnsi="Calibri"/>
        </w:rPr>
        <w:t> </w:t>
      </w:r>
    </w:p>
    <w:p>
      <w:pPr>
        <w:pStyle w:val="paragraph"/>
        <w:spacing w:beforeAutospacing="0" w:before="0" w:afterAutospacing="0" w:after="0"/>
        <w:ind w:end="271"/>
        <w:jc w:val="both"/>
        <w:textAlignment w:val="baseline"/>
        <w:rPr>
          <w:rStyle w:val="normaltextrun"/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paragraph"/>
        <w:spacing w:beforeAutospacing="0" w:before="0" w:afterAutospacing="0" w:after="0"/>
        <w:ind w:end="271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Calibri" w:ascii="Calibri" w:hAnsi="Calibri"/>
        </w:rPr>
        <w:t>Tutta l'organizzazione, a partire dai vertici, è impegnata a supportare l'implementazione, la messa in </w:t>
      </w:r>
      <w:r>
        <w:rPr>
          <w:rStyle w:val="eop"/>
          <w:rFonts w:cs="Calibri" w:ascii="Calibri" w:hAnsi="Calibri"/>
        </w:rPr>
        <w:t> </w:t>
      </w:r>
      <w:r>
        <w:rPr>
          <w:rStyle w:val="normaltextrun"/>
          <w:rFonts w:cs="Calibri" w:ascii="Calibri" w:hAnsi="Calibri"/>
        </w:rPr>
        <w:t>opera e il miglioramento continuo del SGSI. Il vertice aziendale si impegna a perseguire, con mezzi e le risorse adeguate, gli obiettivi di questa politica.</w:t>
      </w:r>
      <w:r>
        <w:rPr>
          <w:rStyle w:val="eop"/>
          <w:rFonts w:cs="Calibri" w:ascii="Calibri" w:hAnsi="Calibri"/>
        </w:rPr>
        <w:t> </w:t>
      </w:r>
    </w:p>
    <w:p>
      <w:pPr>
        <w:pStyle w:val="BodyText3"/>
        <w:spacing w:before="120" w:after="0"/>
        <w:ind w:end="271"/>
        <w:jc w:val="both"/>
        <w:rPr>
          <w:rFonts w:ascii="Tahoma" w:hAnsi="Tahoma" w:cs="Tahoma"/>
          <w:i/>
          <w:sz w:val="18"/>
        </w:rPr>
      </w:pPr>
      <w:r>
        <w:rPr>
          <w:rFonts w:cs="Tahoma" w:ascii="Tahoma" w:hAnsi="Tahoma"/>
          <w:i/>
          <w:sz w:val="18"/>
        </w:rPr>
      </w:r>
    </w:p>
    <w:p>
      <w:pPr>
        <w:pStyle w:val="BodyText3"/>
        <w:spacing w:before="120" w:after="0"/>
        <w:ind w:end="413"/>
        <w:jc w:val="both"/>
        <w:rPr>
          <w:rFonts w:ascii="Tahoma" w:hAnsi="Tahoma" w:cs="Tahoma"/>
          <w:sz w:val="20"/>
        </w:rPr>
      </w:pPr>
      <w:r>
        <w:rPr>
          <w:rFonts w:cs="Tahoma" w:ascii="Tahoma" w:hAnsi="Tahoma"/>
          <w:sz w:val="20"/>
        </w:rPr>
        <w:t>Castelfranco Veneto (TV), 15/06/2026</w:t>
      </w:r>
    </w:p>
    <w:p>
      <w:pPr>
        <w:pStyle w:val="BodyText3"/>
        <w:spacing w:before="120" w:after="0"/>
        <w:ind w:end="413"/>
        <w:jc w:val="both"/>
        <w:rPr>
          <w:rFonts w:ascii="Tahoma" w:hAnsi="Tahoma" w:cs="Tahoma"/>
          <w:sz w:val="20"/>
        </w:rPr>
      </w:pPr>
      <w:r>
        <w:rPr>
          <w:rFonts w:cs="Tahoma" w:ascii="Tahoma" w:hAnsi="Tahoma"/>
          <w:sz w:val="20"/>
        </w:rPr>
      </w:r>
    </w:p>
    <w:p>
      <w:pPr>
        <w:pStyle w:val="BodyText3"/>
        <w:spacing w:before="120" w:after="0"/>
        <w:ind w:end="413"/>
        <w:jc w:val="both"/>
        <w:rPr>
          <w:rFonts w:ascii="Tahoma" w:hAnsi="Tahoma" w:cs="Tahoma"/>
          <w:sz w:val="20"/>
        </w:rPr>
      </w:pPr>
      <w:r>
        <w:rPr>
          <w:rFonts w:cs="Tahoma" w:ascii="Tahoma" w:hAnsi="Tahoma"/>
          <w:i/>
          <w:sz w:val="20"/>
        </w:rPr>
        <w:tab/>
        <w:tab/>
        <w:tab/>
        <w:tab/>
        <w:tab/>
        <w:tab/>
        <w:tab/>
        <w:tab/>
        <w:tab/>
        <w:t>Direzione e Presidente CDA</w:t>
      </w:r>
    </w:p>
    <w:p>
      <w:pPr>
        <w:pStyle w:val="BodyText3"/>
        <w:spacing w:before="120" w:after="0"/>
        <w:ind w:start="-426" w:end="413"/>
        <w:jc w:val="both"/>
        <w:rPr>
          <w:rFonts w:ascii="Tahoma" w:hAnsi="Tahoma" w:cs="Tahoma"/>
          <w:i/>
          <w:sz w:val="20"/>
        </w:rPr>
      </w:pPr>
      <w:r>
        <w:rPr>
          <w:rFonts w:cs="Tahoma" w:ascii="Tahoma" w:hAnsi="Tahoma"/>
          <w:i/>
          <w:sz w:val="18"/>
        </w:rPr>
        <w:tab/>
        <w:tab/>
        <w:tab/>
        <w:tab/>
        <w:tab/>
        <w:tab/>
        <w:t xml:space="preserve">   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720" w:gutter="0" w:header="425" w:top="720" w:footer="478" w:bottom="720"/>
      <w:pgNumType w:fmt="decimal"/>
      <w:formProt w:val="false"/>
      <w:textDirection w:val="lrTb"/>
      <w:docGrid w:type="default" w:linePitch="27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0" w:characterSet="windows-1252"/>
    <w:family w:val="swiss"/>
    <w:pitch w:val="variable"/>
  </w:font>
  <w:font w:name="Segoe UI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>
        <w:sz w:val="14"/>
      </w:rPr>
    </w:pPr>
    <w:r>
      <w:rPr>
        <w:sz w:val="14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>
        <w:sz w:val="14"/>
      </w:rPr>
    </w:pPr>
    <w:r>
      <w:rPr>
        <w:sz w:val="14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  <w:tbl>
    <w:tblPr>
      <w:tblW w:w="9923" w:type="dxa"/>
      <w:jc w:val="start"/>
      <w:tblInd w:w="70" w:type="dxa"/>
      <w:tblLayout w:type="fixed"/>
      <w:tblCellMar>
        <w:top w:w="0" w:type="dxa"/>
        <w:start w:w="70" w:type="dxa"/>
        <w:bottom w:w="0" w:type="dxa"/>
        <w:end w:w="70" w:type="dxa"/>
      </w:tblCellMar>
      <w:tblLook w:val="0000" w:firstRow="0" w:noVBand="0" w:lastRow="0" w:firstColumn="0" w:lastColumn="0" w:noHBand="0"/>
    </w:tblPr>
    <w:tblGrid>
      <w:gridCol w:w="2694"/>
      <w:gridCol w:w="7229"/>
    </w:tblGrid>
    <w:tr>
      <w:trPr>
        <w:trHeight w:val="1115" w:hRule="atLeast"/>
      </w:trPr>
      <w:tc>
        <w:tcPr>
          <w:tcW w:w="2694" w:type="dxa"/>
          <w:tcBorders/>
          <w:vAlign w:val="center"/>
        </w:tcPr>
        <w:p>
          <w:pPr>
            <w:pStyle w:val="Header"/>
            <w:rPr>
              <w:rFonts w:ascii="Tahoma" w:hAnsi="Tahoma" w:cs="Tahoma"/>
              <w:sz w:val="12"/>
            </w:rPr>
          </w:pPr>
          <w:r>
            <w:rPr>
              <w:rFonts w:cs="Tahoma" w:ascii="Tahoma" w:hAnsi="Tahoma"/>
              <w:sz w:val="12"/>
            </w:rPr>
            <w:drawing>
              <wp:anchor distT="0" distB="0" distL="0" distR="0" simplePos="0" relativeHeight="2" behindDoc="0" locked="0" layoutInCell="0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1621790" cy="648335"/>
                <wp:effectExtent l="0" t="0" r="0" b="0"/>
                <wp:wrapSquare wrapText="largest"/>
                <wp:docPr id="1" name="Immagin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1790" cy="6483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229" w:type="dxa"/>
          <w:tcBorders/>
        </w:tcPr>
        <w:p>
          <w:pPr>
            <w:pStyle w:val="Normal"/>
            <w:jc w:val="center"/>
            <w:rPr>
              <w:rFonts w:ascii="Tahoma" w:hAnsi="Tahoma" w:cs="Tahoma"/>
              <w:smallCaps/>
              <w:sz w:val="12"/>
            </w:rPr>
          </w:pPr>
          <w:r>
            <w:rPr>
              <w:rFonts w:cs="Tahoma" w:ascii="Tahoma" w:hAnsi="Tahoma"/>
              <w:smallCaps/>
              <w:sz w:val="12"/>
            </w:rPr>
          </w:r>
        </w:p>
        <w:p>
          <w:pPr>
            <w:pStyle w:val="Normal"/>
            <w:jc w:val="center"/>
            <w:rPr>
              <w:rFonts w:ascii="Tahoma" w:hAnsi="Tahoma" w:cs="Tahoma"/>
              <w:b/>
              <w:sz w:val="22"/>
            </w:rPr>
          </w:pPr>
          <w:r>
            <w:rPr>
              <w:rFonts w:cs="Tahoma" w:ascii="Tahoma" w:hAnsi="Tahoma"/>
              <w:b/>
              <w:sz w:val="22"/>
            </w:rPr>
          </w:r>
        </w:p>
        <w:p>
          <w:pPr>
            <w:pStyle w:val="Normal"/>
            <w:ind w:firstLine="353" w:start="-70"/>
            <w:rPr>
              <w:rFonts w:ascii="Tahoma" w:hAnsi="Tahoma" w:cs="Tahoma"/>
              <w:b/>
              <w:sz w:val="28"/>
            </w:rPr>
          </w:pPr>
          <w:r>
            <w:rPr>
              <w:rFonts w:cs="Tahoma" w:ascii="Tahoma" w:hAnsi="Tahoma"/>
              <w:b/>
              <w:sz w:val="28"/>
            </w:rPr>
            <w:tab/>
            <w:t xml:space="preserve">POLITICA per la SICUREZZA dei DATI </w:t>
          </w:r>
        </w:p>
        <w:p>
          <w:pPr>
            <w:pStyle w:val="Normal"/>
            <w:ind w:firstLine="353" w:start="-70"/>
            <w:rPr>
              <w:rFonts w:ascii="Tahoma" w:hAnsi="Tahoma" w:cs="Tahoma"/>
              <w:b/>
              <w:sz w:val="22"/>
            </w:rPr>
          </w:pPr>
          <w:r>
            <w:rPr>
              <w:rFonts w:cs="Tahoma" w:ascii="Tahoma" w:hAnsi="Tahoma"/>
              <w:b/>
              <w:sz w:val="28"/>
            </w:rPr>
            <w:tab/>
            <w:t>e delle INFORMAZIONI</w:t>
          </w:r>
        </w:p>
      </w:tc>
    </w:tr>
    <w:tr>
      <w:trPr>
        <w:trHeight w:val="297" w:hRule="atLeast"/>
      </w:trPr>
      <w:tc>
        <w:tcPr>
          <w:tcW w:w="2694" w:type="dxa"/>
          <w:tcBorders>
            <w:bottom w:val="single" w:sz="4" w:space="0" w:color="000000"/>
          </w:tcBorders>
          <w:vAlign w:val="center"/>
        </w:tcPr>
        <w:p>
          <w:pPr>
            <w:pStyle w:val="Header"/>
            <w:rPr>
              <w:rFonts w:ascii="Tahoma" w:hAnsi="Tahoma" w:cs="Tahoma"/>
              <w:sz w:val="12"/>
            </w:rPr>
          </w:pPr>
          <w:r>
            <w:rPr>
              <w:rFonts w:cs="Tahoma" w:ascii="Tahoma" w:hAnsi="Tahoma"/>
              <w:sz w:val="12"/>
            </w:rPr>
          </w:r>
        </w:p>
      </w:tc>
      <w:tc>
        <w:tcPr>
          <w:tcW w:w="7229" w:type="dxa"/>
          <w:tcBorders>
            <w:bottom w:val="single" w:sz="4" w:space="0" w:color="000000"/>
          </w:tcBorders>
        </w:tcPr>
        <w:p>
          <w:pPr>
            <w:pStyle w:val="Normal"/>
            <w:jc w:val="center"/>
            <w:rPr>
              <w:rFonts w:ascii="Tahoma" w:hAnsi="Tahoma" w:cs="Tahoma"/>
              <w:smallCaps/>
              <w:sz w:val="12"/>
            </w:rPr>
          </w:pPr>
          <w:r>
            <w:rPr>
              <w:rFonts w:cs="Tahoma" w:ascii="Tahoma" w:hAnsi="Tahoma"/>
              <w:smallCaps/>
              <w:sz w:val="12"/>
            </w:rPr>
          </w:r>
        </w:p>
      </w:tc>
    </w:tr>
  </w:tbl>
  <w:p>
    <w:pPr>
      <w:pStyle w:val="Header"/>
      <w:rPr>
        <w:sz w:val="8"/>
      </w:rPr>
    </w:pPr>
    <w:r>
      <w:rPr>
        <w:sz w:val="8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  <w:tbl>
    <w:tblPr>
      <w:tblW w:w="9923" w:type="dxa"/>
      <w:jc w:val="start"/>
      <w:tblInd w:w="70" w:type="dxa"/>
      <w:tblLayout w:type="fixed"/>
      <w:tblCellMar>
        <w:top w:w="0" w:type="dxa"/>
        <w:start w:w="70" w:type="dxa"/>
        <w:bottom w:w="0" w:type="dxa"/>
        <w:end w:w="70" w:type="dxa"/>
      </w:tblCellMar>
      <w:tblLook w:val="0000" w:firstRow="0" w:noVBand="0" w:lastRow="0" w:firstColumn="0" w:lastColumn="0" w:noHBand="0"/>
    </w:tblPr>
    <w:tblGrid>
      <w:gridCol w:w="2694"/>
      <w:gridCol w:w="7229"/>
    </w:tblGrid>
    <w:tr>
      <w:trPr>
        <w:trHeight w:val="1115" w:hRule="atLeast"/>
      </w:trPr>
      <w:tc>
        <w:tcPr>
          <w:tcW w:w="2694" w:type="dxa"/>
          <w:tcBorders/>
          <w:vAlign w:val="center"/>
        </w:tcPr>
        <w:p>
          <w:pPr>
            <w:pStyle w:val="Header"/>
            <w:rPr>
              <w:rFonts w:ascii="Tahoma" w:hAnsi="Tahoma" w:cs="Tahoma"/>
              <w:sz w:val="12"/>
            </w:rPr>
          </w:pPr>
          <w:r>
            <w:rPr>
              <w:rFonts w:cs="Tahoma" w:ascii="Tahoma" w:hAnsi="Tahoma"/>
              <w:sz w:val="12"/>
            </w:rPr>
            <w:drawing>
              <wp:anchor distT="0" distB="0" distL="0" distR="0" simplePos="0" relativeHeight="2" behindDoc="0" locked="0" layoutInCell="0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1621790" cy="648335"/>
                <wp:effectExtent l="0" t="0" r="0" b="0"/>
                <wp:wrapSquare wrapText="largest"/>
                <wp:docPr id="2" name="Immagin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1790" cy="6483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229" w:type="dxa"/>
          <w:tcBorders/>
        </w:tcPr>
        <w:p>
          <w:pPr>
            <w:pStyle w:val="Normal"/>
            <w:jc w:val="center"/>
            <w:rPr>
              <w:rFonts w:ascii="Tahoma" w:hAnsi="Tahoma" w:cs="Tahoma"/>
              <w:smallCaps/>
              <w:sz w:val="12"/>
            </w:rPr>
          </w:pPr>
          <w:r>
            <w:rPr>
              <w:rFonts w:cs="Tahoma" w:ascii="Tahoma" w:hAnsi="Tahoma"/>
              <w:smallCaps/>
              <w:sz w:val="12"/>
            </w:rPr>
          </w:r>
        </w:p>
        <w:p>
          <w:pPr>
            <w:pStyle w:val="Normal"/>
            <w:jc w:val="center"/>
            <w:rPr>
              <w:rFonts w:ascii="Tahoma" w:hAnsi="Tahoma" w:cs="Tahoma"/>
              <w:b/>
              <w:sz w:val="22"/>
            </w:rPr>
          </w:pPr>
          <w:r>
            <w:rPr>
              <w:rFonts w:cs="Tahoma" w:ascii="Tahoma" w:hAnsi="Tahoma"/>
              <w:b/>
              <w:sz w:val="22"/>
            </w:rPr>
          </w:r>
        </w:p>
        <w:p>
          <w:pPr>
            <w:pStyle w:val="Normal"/>
            <w:ind w:firstLine="353" w:start="-70"/>
            <w:rPr>
              <w:rFonts w:ascii="Tahoma" w:hAnsi="Tahoma" w:cs="Tahoma"/>
              <w:b/>
              <w:sz w:val="28"/>
            </w:rPr>
          </w:pPr>
          <w:r>
            <w:rPr>
              <w:rFonts w:cs="Tahoma" w:ascii="Tahoma" w:hAnsi="Tahoma"/>
              <w:b/>
              <w:sz w:val="28"/>
            </w:rPr>
            <w:tab/>
            <w:t xml:space="preserve">POLITICA per la SICUREZZA dei DATI </w:t>
          </w:r>
        </w:p>
        <w:p>
          <w:pPr>
            <w:pStyle w:val="Normal"/>
            <w:ind w:firstLine="353" w:start="-70"/>
            <w:rPr>
              <w:rFonts w:ascii="Tahoma" w:hAnsi="Tahoma" w:cs="Tahoma"/>
              <w:b/>
              <w:sz w:val="22"/>
            </w:rPr>
          </w:pPr>
          <w:r>
            <w:rPr>
              <w:rFonts w:cs="Tahoma" w:ascii="Tahoma" w:hAnsi="Tahoma"/>
              <w:b/>
              <w:sz w:val="28"/>
            </w:rPr>
            <w:tab/>
            <w:t>e delle INFORMAZIONI</w:t>
          </w:r>
        </w:p>
      </w:tc>
    </w:tr>
    <w:tr>
      <w:trPr>
        <w:trHeight w:val="297" w:hRule="atLeast"/>
      </w:trPr>
      <w:tc>
        <w:tcPr>
          <w:tcW w:w="2694" w:type="dxa"/>
          <w:tcBorders>
            <w:bottom w:val="single" w:sz="4" w:space="0" w:color="000000"/>
          </w:tcBorders>
          <w:vAlign w:val="center"/>
        </w:tcPr>
        <w:p>
          <w:pPr>
            <w:pStyle w:val="Header"/>
            <w:rPr>
              <w:rFonts w:ascii="Tahoma" w:hAnsi="Tahoma" w:cs="Tahoma"/>
              <w:sz w:val="12"/>
            </w:rPr>
          </w:pPr>
          <w:r>
            <w:rPr>
              <w:rFonts w:cs="Tahoma" w:ascii="Tahoma" w:hAnsi="Tahoma"/>
              <w:sz w:val="12"/>
            </w:rPr>
          </w:r>
        </w:p>
      </w:tc>
      <w:tc>
        <w:tcPr>
          <w:tcW w:w="7229" w:type="dxa"/>
          <w:tcBorders>
            <w:bottom w:val="single" w:sz="4" w:space="0" w:color="000000"/>
          </w:tcBorders>
        </w:tcPr>
        <w:p>
          <w:pPr>
            <w:pStyle w:val="Normal"/>
            <w:jc w:val="center"/>
            <w:rPr>
              <w:rFonts w:ascii="Tahoma" w:hAnsi="Tahoma" w:cs="Tahoma"/>
              <w:smallCaps/>
              <w:sz w:val="12"/>
            </w:rPr>
          </w:pPr>
          <w:r>
            <w:rPr>
              <w:rFonts w:cs="Tahoma" w:ascii="Tahoma" w:hAnsi="Tahoma"/>
              <w:smallCaps/>
              <w:sz w:val="12"/>
            </w:rPr>
          </w:r>
        </w:p>
      </w:tc>
    </w:tr>
  </w:tbl>
  <w:p>
    <w:pPr>
      <w:pStyle w:val="Header"/>
      <w:rPr>
        <w:sz w:val="8"/>
      </w:rPr>
    </w:pPr>
    <w:r>
      <w:rPr>
        <w:sz w:val="8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numPicBullet w:numPicBulletId="0">
    <w:pict>
      <v:shape style="width:11.25pt;height:11.25pt" o:bullet="t">
        <v:imagedata r:id="rId1" o:title=""/>
      </v:shape>
    </w:pict>
  </w:numPicBullet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ascii="Symbol" w:hAnsi="Symbol" w:cs="Symbol" w:hint="default"/>
        <w:sz w:val="20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ascii="Symbol" w:hAnsi="Symbol" w:cs="Symbol" w:hint="default"/>
        <w:sz w:val="20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ascii="Symbol" w:hAnsi="Symbol" w:cs="Symbol" w:hint="default"/>
        <w:sz w:val="20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ascii="Symbol" w:hAnsi="Symbol" w:cs="Symbol" w:hint="default"/>
        <w:sz w:val="20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ascii="Symbol" w:hAnsi="Symbol" w:cs="Symbol" w:hint="default"/>
        <w:sz w:val="20"/>
      </w:r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ascii="Symbol" w:hAnsi="Symbol" w:cs="Symbol" w:hint="default"/>
        <w:sz w:val="20"/>
      </w:r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hyphenationZone w:val="425"/>
  <w:doNotHyphenateCaps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it-IT" w:eastAsia="it-IT" w:bidi="ar-SA"/>
    </w:rPr>
  </w:style>
  <w:style w:type="paragraph" w:styleId="Heading1">
    <w:name w:val="heading 1"/>
    <w:basedOn w:val="Normal"/>
    <w:next w:val="Normal"/>
    <w:qFormat/>
    <w:pPr>
      <w:keepNext w:val="true"/>
      <w:jc w:val="end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 w:val="true"/>
      <w:jc w:val="both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 w:val="true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 w:val="true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 w:val="true"/>
      <w:outlineLvl w:val="4"/>
    </w:pPr>
    <w:rPr>
      <w:b/>
      <w:sz w:val="16"/>
    </w:rPr>
  </w:style>
  <w:style w:type="paragraph" w:styleId="Heading6">
    <w:name w:val="heading 6"/>
    <w:basedOn w:val="Normal"/>
    <w:next w:val="Normal"/>
    <w:qFormat/>
    <w:pPr>
      <w:keepNext w:val="true"/>
      <w:jc w:val="center"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 w:val="true"/>
      <w:jc w:val="center"/>
      <w:outlineLvl w:val="6"/>
    </w:pPr>
    <w:rPr>
      <w:b/>
      <w:sz w:val="24"/>
    </w:rPr>
  </w:style>
  <w:style w:type="paragraph" w:styleId="Heading8">
    <w:name w:val="heading 8"/>
    <w:basedOn w:val="Normal"/>
    <w:next w:val="Normal"/>
    <w:qFormat/>
    <w:pPr>
      <w:keepNext w:val="true"/>
      <w:shd w:val="pct25" w:color="auto" w:fill="auto"/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keepNext w:val="true"/>
      <w:spacing w:before="240" w:after="0"/>
      <w:jc w:val="center"/>
      <w:outlineLvl w:val="8"/>
    </w:pPr>
    <w:rPr>
      <w:rFonts w:ascii="Arial" w:hAnsi="Arial"/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fe3e85"/>
    <w:rPr>
      <w:rFonts w:ascii="Tahoma" w:hAnsi="Tahoma" w:cs="Tahoma"/>
      <w:sz w:val="16"/>
      <w:szCs w:val="16"/>
    </w:rPr>
  </w:style>
  <w:style w:type="character" w:styleId="normaltextrun" w:customStyle="1">
    <w:name w:val="normaltextrun"/>
    <w:basedOn w:val="DefaultParagraphFont"/>
    <w:qFormat/>
    <w:rsid w:val="004106d8"/>
    <w:rPr/>
  </w:style>
  <w:style w:type="character" w:styleId="eop" w:customStyle="1">
    <w:name w:val="eop"/>
    <w:basedOn w:val="DefaultParagraphFont"/>
    <w:qFormat/>
    <w:rsid w:val="004106d8"/>
    <w:rPr/>
  </w:style>
  <w:style w:type="character" w:styleId="CommentReference">
    <w:name w:val="annotation reference"/>
    <w:basedOn w:val="DefaultParagraphFont"/>
    <w:uiPriority w:val="99"/>
    <w:semiHidden/>
    <w:unhideWhenUsed/>
    <w:qFormat/>
    <w:rsid w:val="00d35435"/>
    <w:rPr>
      <w:sz w:val="16"/>
      <w:szCs w:val="16"/>
    </w:rPr>
  </w:style>
  <w:style w:type="character" w:styleId="TestocommentoCarattere" w:customStyle="1">
    <w:name w:val="Testo commento Carattere"/>
    <w:basedOn w:val="DefaultParagraphFont"/>
    <w:uiPriority w:val="99"/>
    <w:qFormat/>
    <w:rsid w:val="00d35435"/>
    <w:rPr/>
  </w:style>
  <w:style w:type="character" w:styleId="SoggettocommentoCarattere" w:customStyle="1">
    <w:name w:val="Soggetto commento Carattere"/>
    <w:basedOn w:val="TestocommentoCarattere"/>
    <w:link w:val="annotationsubject"/>
    <w:uiPriority w:val="99"/>
    <w:semiHidden/>
    <w:qFormat/>
    <w:rsid w:val="00d35435"/>
    <w:rPr>
      <w:b/>
      <w:bCs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tabs>
        <w:tab w:val="clear" w:pos="708"/>
        <w:tab w:val="left" w:pos="641" w:leader="none"/>
      </w:tabs>
    </w:pPr>
    <w:rPr>
      <w:sz w:val="16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819" w:leader="none"/>
        <w:tab w:val="right" w:pos="9071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BodyTextIndent">
    <w:name w:val="Body Text Indent"/>
    <w:basedOn w:val="Normal"/>
    <w:pPr>
      <w:ind w:hanging="567" w:start="709"/>
      <w:jc w:val="both"/>
    </w:pPr>
    <w:rPr>
      <w:sz w:val="24"/>
    </w:rPr>
  </w:style>
  <w:style w:type="paragraph" w:styleId="BodyText2">
    <w:name w:val="Body Text 2"/>
    <w:basedOn w:val="Normal"/>
    <w:qFormat/>
    <w:pPr>
      <w:jc w:val="center"/>
    </w:pPr>
    <w:rPr/>
  </w:style>
  <w:style w:type="paragraph" w:styleId="BodyText3">
    <w:name w:val="Body Text 3"/>
    <w:basedOn w:val="Normal"/>
    <w:qFormat/>
    <w:pPr/>
    <w:rPr>
      <w:rFonts w:ascii="Arial" w:hAnsi="Arial"/>
      <w:sz w:val="28"/>
    </w:rPr>
  </w:style>
  <w:style w:type="paragraph" w:styleId="ListParagraph">
    <w:name w:val="List Paragraph"/>
    <w:basedOn w:val="Normal"/>
    <w:uiPriority w:val="34"/>
    <w:qFormat/>
    <w:rsid w:val="00c822a4"/>
    <w:pPr>
      <w:spacing w:lineRule="auto" w:line="276" w:before="0" w:after="200"/>
      <w:ind w:star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fe3e85"/>
    <w:pPr/>
    <w:rPr>
      <w:rFonts w:ascii="Tahoma" w:hAnsi="Tahoma" w:cs="Tahoma"/>
      <w:sz w:val="16"/>
      <w:szCs w:val="16"/>
    </w:rPr>
  </w:style>
  <w:style w:type="paragraph" w:styleId="paragraph" w:customStyle="1">
    <w:name w:val="paragraph"/>
    <w:basedOn w:val="Normal"/>
    <w:qFormat/>
    <w:rsid w:val="004106d8"/>
    <w:pPr>
      <w:spacing w:beforeAutospacing="1" w:afterAutospacing="1"/>
    </w:pPr>
    <w:rPr>
      <w:sz w:val="24"/>
      <w:szCs w:val="24"/>
    </w:rPr>
  </w:style>
  <w:style w:type="paragraph" w:styleId="CommentText">
    <w:name w:val="annotation text"/>
    <w:basedOn w:val="Normal"/>
    <w:link w:val="TestocommentoCarattere"/>
    <w:uiPriority w:val="99"/>
    <w:unhideWhenUsed/>
    <w:rsid w:val="00d35435"/>
    <w:pPr/>
    <w:rPr/>
  </w:style>
  <w:style w:type="paragraph" w:styleId="annotationsubject">
    <w:name w:val="annotation subject"/>
    <w:basedOn w:val="CommentText"/>
    <w:next w:val="CommentText"/>
    <w:link w:val="SoggettocommentoCarattere"/>
    <w:uiPriority w:val="99"/>
    <w:semiHidden/>
    <w:unhideWhenUsed/>
    <w:qFormat/>
    <w:rsid w:val="00d35435"/>
    <w:pPr/>
    <w:rPr>
      <w:b/>
      <w:bCs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numbering.xml.rels><?xml version="1.0" encoding="UTF-8"?>
<Relationships xmlns="http://schemas.openxmlformats.org/package/2006/relationships"><Relationship Id="rId1" Type="http://schemas.openxmlformats.org/officeDocument/2006/relationships/image" Target="media/image2.gif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04A7C-FD49-45CC-966D-C061ACA03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Application>LibreOffice/26.2.5.2$Windows_X86_64 LibreOffice_project/cd7284b4cbbfeb507e630c1aac019f4157393acb</Application>
  <AppVersion>15.0000</AppVersion>
  <Pages>1</Pages>
  <Words>356</Words>
  <Characters>2118</Characters>
  <CharactersWithSpaces>2491</CharactersWithSpaces>
  <Paragraphs>22</Paragraphs>
  <Company>ITALCOAT SRL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2025-09-30T06:50:00Z</dcterms:created>
  <dc:creator>Gianluca Porzio</dc:creator>
  <dc:description/>
  <dc:language>it-IT</dc:language>
  <cp:lastModifiedBy/>
  <cp:lastPrinted>2015-02-25T09:17:00Z</cp:lastPrinted>
  <dcterms:modified xsi:type="dcterms:W3CDTF">2026-09-22T10:17:42Z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